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40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44"/>
          <w:szCs w:val="44"/>
          <w:rtl w:val="0"/>
        </w:rPr>
        <w:t xml:space="preserve">Installation et Configuration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36"/>
          <w:szCs w:val="36"/>
          <w:rtl w:val="0"/>
        </w:rPr>
        <w:t xml:space="preserve">pfSense — Pare-feu &amp; NAT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Rule="auto"/>
        <w:rPr/>
      </w:pPr>
      <w:r w:rsidDel="00000000" w:rsidR="00000000" w:rsidRPr="00000000">
        <w:rPr/>
        <w:drawing>
          <wp:inline distB="114300" distT="114300" distL="114300" distR="114300">
            <wp:extent cx="6119820" cy="21463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20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Clarac Matheo — BTS SIO 1ère année SISR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32"/>
          <w:szCs w:val="32"/>
          <w:rtl w:val="0"/>
        </w:rPr>
        <w:t xml:space="preserve">Objectif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12" w:val="single"/>
              <w:bottom w:color="2e75b6" w:space="0" w:sz="4" w:val="single"/>
              <w:right w:color="000000" w:space="0" w:sz="0" w:val="nil"/>
            </w:tcBorders>
            <w:shd w:fill="ebf3fb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Installer et configurer pfSense comme pare-feu/routeur, mettre en place une architecture réseau avec une zone WAN, LAN et DMZ, puis créer des règles de pare-feu permettant l'accès au serveur web via NAT.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32"/>
          <w:szCs w:val="32"/>
          <w:rtl w:val="0"/>
        </w:rPr>
        <w:t xml:space="preserve">1. Installation de pfSense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pfSense est un système d'exploitation basé sur FreeBSD, utilisé comme pare-feu et routeur. L'installation se fait depuis une image ISO bootable.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Démarrer la machine sur l'ISO pfSense.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Accepter les termes de la licence (Copyright and distribution notice).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Suivre l'assistant d'installation : choix du clavier, partitionnement, installation.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Redémarrer après installation.</w:t>
      </w:r>
    </w:p>
    <w:p w:rsidR="00000000" w:rsidDel="00000000" w:rsidP="00000000" w:rsidRDefault="00000000" w:rsidRPr="00000000" w14:paraId="00000014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before="12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4762500" cy="28575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L'écran d'installation affiche l'avertissement de copyright et de distribution de pfSense. Cliquer sur [Accept] pour continuer.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32"/>
          <w:szCs w:val="32"/>
          <w:rtl w:val="0"/>
        </w:rPr>
        <w:t xml:space="preserve">2. Configuration des interfaces réseau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Après redémarrage, pfSense affiche l'assignation des interfaces réseau depuis la console. Les trois interfaces sont configurées comme suit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12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810000" cy="66675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1800"/>
        <w:gridCol w:w="2000"/>
        <w:gridCol w:w="3838"/>
        <w:tblGridChange w:id="0">
          <w:tblGrid>
            <w:gridCol w:w="2000"/>
            <w:gridCol w:w="1800"/>
            <w:gridCol w:w="2000"/>
            <w:gridCol w:w="3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Zone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Interface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Adresse 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192.168.147.105/24 (DHCP)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192.168.10.1/24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DMZ (opt1)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192.168.20.1/24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a817" w:space="0" w:sz="4" w:val="single"/>
              <w:left w:color="e6a817" w:space="0" w:sz="12" w:val="single"/>
              <w:bottom w:color="e6a817" w:space="0" w:sz="4" w:val="single"/>
              <w:right w:color="000000" w:space="0" w:sz="0" w:val="nil"/>
            </w:tcBorders>
            <w:shd w:fill="fff3cd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⚠ Le serveur web se trouve dans la DMZ à l'adresse 192.168.20.2. La DMZ isole les serveurs accessibles depuis l'extérieur du réseau LAN interne.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32"/>
          <w:szCs w:val="32"/>
          <w:rtl w:val="0"/>
        </w:rPr>
        <w:t xml:space="preserve">3. Règle de pare-feu — Accès au serveur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Cette règle permet aux connexions provenant d'Internet (WAN) d'atteindre le serveur web situé en DMZ via un NAT de redirection de port (Port Forward).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6"/>
          <w:szCs w:val="26"/>
          <w:rtl w:val="0"/>
        </w:rPr>
        <w:t xml:space="preserve">Configuration de la règle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19820" cy="32512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before="12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721188" cy="3740776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1188" cy="3740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5b6"/>
          <w:sz w:val="26"/>
          <w:szCs w:val="26"/>
          <w:rtl w:val="0"/>
        </w:rPr>
        <w:t xml:space="preserve">Détail des paramètres</w:t>
      </w: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638"/>
        <w:tblGridChange w:id="0">
          <w:tblGrid>
            <w:gridCol w:w="3000"/>
            <w:gridCol w:w="6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Paramètre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Valeur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Pass (Autoriser)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Address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IPv4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Protocole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Any (toute source)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Destination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192.168.20.2 (serveur web DMZ)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Port destination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HTTP (80)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Tracking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1747063536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Créée 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5/12/25 15:25:36 par NAT Port Forward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19820" cy="7874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32"/>
          <w:szCs w:val="32"/>
          <w:rtl w:val="0"/>
        </w:rPr>
        <w:t xml:space="preserve">4. Récapitulatif des règles 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tableau ci-dessous liste l'ensemble des règles actives sur l'interface WAN de pfSense.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before="12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6463219" cy="161580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3219" cy="161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"/>
        <w:gridCol w:w="1200"/>
        <w:gridCol w:w="1400"/>
        <w:gridCol w:w="1400"/>
        <w:gridCol w:w="1400"/>
        <w:gridCol w:w="1400"/>
        <w:gridCol w:w="1838"/>
        <w:tblGridChange w:id="0">
          <w:tblGrid>
            <w:gridCol w:w="1000"/>
            <w:gridCol w:w="1200"/>
            <w:gridCol w:w="1400"/>
            <w:gridCol w:w="1400"/>
            <w:gridCol w:w="1400"/>
            <w:gridCol w:w="1400"/>
            <w:gridCol w:w="1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État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Protocol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Destination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Port dest.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ce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sdt>
              <w:sdtPr>
                <w:id w:val="-3908976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❌ Bloqué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ce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ce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Reserved / Not assigned by 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ce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ce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ce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ce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Block bogon networks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sdt>
              <w:sdtPr>
                <w:id w:val="-190753192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✅ Autorisé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IPv4 TCP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443 (HTTPS)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3f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sdt>
              <w:sdtPr>
                <w:id w:val="183022650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✅ Autorisé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IPv4 TCP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192.168.20.2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80 (HTTP)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Explication des règles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Block bogon networks : bloque les adresses IP réservées ou non attribuées par l'IANA (protection par défaut).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 443 (HTTPS) : autorise les connexions HTTPS entrantes depuis n'importe quelle source.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sdt>
        <w:sdtPr>
          <w:id w:val="50953090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Port 80 (HTTP) → 192.168.20.2 (NAT) : redirige le trafic HTTP entrant vers le serveur web en DMZ.</w:t>
          </w:r>
        </w:sdtContent>
      </w:sdt>
    </w:p>
    <w:p w:rsidR="00000000" w:rsidDel="00000000" w:rsidP="00000000" w:rsidRDefault="00000000" w:rsidRPr="00000000" w14:paraId="0000007A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a817" w:space="0" w:sz="4" w:val="single"/>
              <w:left w:color="e6a817" w:space="0" w:sz="12" w:val="single"/>
              <w:bottom w:color="e6a817" w:space="0" w:sz="4" w:val="single"/>
              <w:right w:color="000000" w:space="0" w:sz="0" w:val="nil"/>
            </w:tcBorders>
            <w:shd w:fill="fff3cd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⚠ La règle NAT (port 80) a été créée automatiquement lors de la configuration du Port Forward dans le menu Firewall &gt; NAT &gt; Port Forward.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color="2e75b6" w:space="1" w:sz="6" w:val="single"/>
      </w:pBdr>
      <w:spacing w:before="100" w:lineRule="auto"/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/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bottom w:color="1f3864" w:space="1" w:sz="6" w:val="single"/>
      </w:pBdr>
      <w:spacing w:after="10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1f3864"/>
        <w:sz w:val="20"/>
        <w:szCs w:val="20"/>
        <w:rtl w:val="0"/>
      </w:rPr>
      <w:t xml:space="preserve">Installation et Configuration de pfSense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    Clarac Matheo — BTS SIO 1ère année SISR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3864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7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0M6OJ3SBRAeTg6q3vh4gpyDYw==">CgMxLjAaJAoBMBIfCh0IB0IZCgVBcmlhbBIQQXJpYWwgVW5pY29kZSBNUxokCgExEh8KHQgHQhkKBUFyaWFsEhBBcmlhbCBVbmljb2RlIE1TGiQKATISHwodCAdCGQoFQXJpYWwSEEFyaWFsIFVuaWNvZGUgTVMaJAoBMxIfCh0IB0IZCgVBcmlhbBIQQXJpYWwgVW5pY29kZSBNUzgAciExR1FIM3k4UFFYblNLd21XLTRmWk1lWHFhaFpMc2VlaHU=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